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18.08.2022 (согласно штампу на почтовом конверте) направило в Верховный Суд Российской Федерации кассационную жалобу, одновременно заявив ходатайство о восстановлении пропущенного срока ее подачи. В обоснование ходатайства общество ссылается на несвоевременное получение копий обжалуемых судебных актов.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2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Подача кассационной жалобы в арбитражный суд с соблюдением установленных законом срока и порядка ее подачи является обязанностью лица, подающего жалобу. Однако, как следует из обжалуемых судебных актов, общество являлось инициатором спора и обращения с кассационной жалобой в суд округа, представитель присутствовал в судебном заседании суда кассационной инстанции, знал о состоявшихся судебных актах, текст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При той степени заботливости и разумной осмотрительности, какая требуется от участвующих в деле лиц как от добросовестных участников процесса, общество имело возможность ознакомиться с содержанием обжалуемых судебных актов и принять решение по вопросу подготовки и подачи кассационной жалобы в предусмотренный процессуальным законодательством срок. В соответствии с частями 1 и 6 статьи 2913 Арбитражного процессуального кодекса Российской Федерации, общество имело возможность своевременно обратиться в Верховный Суд Российской Федерации путем 3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при том, что согласно Порядку подачи документов в электронном виде с использованием указанной системы не требуется получение заверенных копий обжалуемых судебных актов.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«Алькор и Ко»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