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«Фирма «Трансгарант» обратилось в Арбитражный суд Московской области с иском, уточненным в порядке статьи 49 Арбитражного процессуального кодекса Российской Федерации, о взыскании с ООО «АГМА ТЛК» 1 819 500 рублей платы за сверхнормативное использование вагонов по договору от 14.08.2017 № 1/02/42/101/17 и 987 988 рублей 50 копеек неустойки, с последующим ее начислением за каждый день просрочки по дату фактического возврата долга. Решением Арбитражного суда Московской области от 30.11.2021 иск удовлетворен в части взыскания 1 819 500 рублей; в удовлетворении иска в остальной части отказано. Постановлением Десятого арбитражного апелляционного суда от 27.01.2022 решение суда первой инстанции оставлено без изменения. Арбитражный суд Московского округа постановлением от 06.06.2022 указанные судебные акты оставил без изменения. ООО «Фирма «Трансгарант»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об отказе в удовлетворении иска в части взыскания неустойки,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иска в части взыскания неустойки, суды руководствовались положениями статей 309, 310, 329, 330, 421, 431 Гражданского кодекса Российской Федерации, разъяснениями,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и исходили из того, что договором за сверхнормативный простой вагонов под погрузкой/выгрузкой предусмотрена ответственность в виде штрафа, который по своей природе не является платой за оказанные услуги, в связи с чем требование о взыскании неустойки, начисленной за несвоевременную выплату ответчиком указанного штрафа, по сути является применением двойной меры ответственности за одно и то же нарушение, что в силу закона недопустимо.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