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Удовлетворяя заявленное требование, суды трех инстанций, руководствуясь положениями статей 169 , 171 , 172 Налогового кодекса Российской Федерации, разъяснениями, изложенными в пунктах 27, 28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стоимость», пришли к выводу о наличии у общества с ограниченной ответственностью «Троицкий элеватор» (далее – общество) правовых оснований на учет 8 287 989 рублей 21 копейки в составе вычетов по налогу на добавленную стоимость (далее – НДС). Судебные инстанции исходили из реальности хозяйственных операций общества с обществами с ограниченной ответственностью «Климовское» и «Магнитогорский элеватор», необходимости определения действительного объема налоговых обязательств налогоплательщика с учетом неправомерного выставления счетов-фактур с выделением НДС, а также приняли во внимание доначисление органами налогового контроля НДС к уплате в бюджет по данным операциям спорным контрагентам. Доводы, изложенные в кассационной жалобе, в том числе относительно взаимозависимости и признания контрагента несостоятельным (банкротом), сводятся к повторению позиции инспекции по спору и получили надлежащую правовую оценку судов с учетом установленных обстоятельств дела.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№ 15 по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"Троицкий элеватор" (подробнее) Ответчики: МИФНС России №15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