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соответствии со статьей 101 Федерального конституционного закона Российской Федерации от 21.07.1994 № 1-ФКЗ «О Конституционном Суде Российской Федерации» суд при рассмотрении дела в любой инстанции, придя к выводу о несоответствии Конституции Российской Федерации закона, примененного или подлежащего применению в указанном деле, обращается в Конституционный Суд Российской Федерации с запросом о проверке конституционности данного закона. В силу указанных норм обращение в Конституционный Суд Российской Федерации с запросом о проверке конституционности закона является правом арбитражного суда в случае возникновения у него сомнений о соответствии примененного или подлежащего применению закона Конституции Российской Федерации. 2 В данном случае предусмотренных названными нормами оснований для обращения с запросом в Конституционный Суд Российской Федерации при рассмотрении настоящей кассационной жалобы не установлено.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«Мирролла Лаб»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