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25.07.2021, оставленным без изменения постановлением Первого арбитражного апелляционного суда от 26.11.2021 и постановлением Арбитражного суда Волго-Вятского округа от 07.04.2022, в удовлетворении заявления отказано. В кассационной жалобе ФИО1 просит об отмене судебных актов, ссылаясь на нуждаемость в личном автомобиле.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спорный автомобиль не обладает исполнительским иммунитетом и его исключение из конкурсной массы при наличии у должника неисполненных обязательств противоречит целям процедур банкротства, поэтому в силу пунктов 2 и 3 статьи 213.25 Федерального закона «О несостоятельности (банкротстве)» и статьи 446 Гражданского процессуального кодекса Российской Федерации не признали основания для исключения его из конкурсной массы.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"Теплоэнерго" (подробнее) МРИФНС №18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