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20.10.2021, оставленным без изменения постановлением Тринадцатого арбитражного апелляционного суда от 24.01.2022 и постановлением Арбитражного суда Северо-Западного округа от 28.04.2022, в удовлетворении заявления отказано. В кассационной жалобе общество «СТАМО Тулс» просит об отмене судебных актов, ссылаясь на несоответствие выводов судов закону и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внесение в кредитную историю заявителя изменений, по существу означающее отсутствие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«СТАМО Тулс»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 Ксенофонтова Суд: Верховный Суд РФ (подробнее) Истцы: ООО "СТАМО ТУЛС" (подробнее) Ответчики: АО "НБКИ" (подробнее) ООО "АЛЬФАМОБИЛЬ"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