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24.12.2021, оставленным без изменения постановлением Третьего арбитражного апелляционного суда от 10.03.2022 и постановлением Арбитражного суда Восточно-Сибирского округа от 20.05.2022, процедура реализации имущества гражданина завершена без применения правил об освобождении от дальнейшего исполнения требований кредиторов. В кассационной жалобе ФИО1 просит об отмене судебных актов, ссылаясь на несоответствие вывода судов о его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процедурах банкротства и установили его действия,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обязательств. Иная оценка должником своего поведения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Восточный экспресс Банк (подробнее) Иные лица: 3ААС (подробнее) АО "Норильско-Таймырская энергетическая компания" (подробнее) МИФНС №25 по КК (подробнее) ООО Гулаков И.А. к/у МФК Парса Компани Групп (подробнее) ООО Микрофинансовая компания ГринМани (подробнее) ООО МФК Парса Компани Групп (подробнее) ООО ТБС (подробнее) ООО УПРАВЛЯЮЩАЯ КОМПАНИЯ ТРАСТ (подробнее) Росреестр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