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22.11.2021, оставленным без изменения постановлением Семнадцатого арбитражного апелляционного суда от 10.02.2022 и постановлением Арбитражного суда Уральского округа от 19.04.2022, заявление финансового управляющего о взыскании с Байрамова Б.Н. 100 000 рублей судебных расходов удовлетворено. В кассационной жалобе Байрамов Б.Н. просит о пересмотре судебных актов в отношении судебных расходов, ссылаясь на недоказанность их несения.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Обстоятельства, связанные с доказыванием и оценкой доказательств несения судебных расходов, не попадают под указанные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Байрамову Бахтияру Натиговичу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