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ответственность лица в рассматриваемом случае зависит от суммы незаконной операции, оснований для применения положений статьи 4.1.1 Кодекса Российской Федерации об административных правонарушениях не установлено, вынесение нескольких постановлений о назначении административного наказания не нарушило права и законные интересы общества.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«АТРИУМ-XXI ВЕК»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"АТРИУМ-XXI ВЕК" (подробнее) Ответчики: Инспекция Федеральной налоговой службы №25 по г.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