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Матвеев Дмитрий Игоревич обратился в суд с заявлением о включении в реестр требований кредиторов должника (далее – реестр) его требования в размере 8 533 355 рублей 10 копеек. Определением Арбитражного суда города Москвы от 01.10.2021 заявление удовлетворено. Не согласившись с названным судебным актом, общество с ограниченной ответственностью «Центр недвижимости и инвестиций» обратилось в Девятый арбитражный апелляционный суд с апелляционной жалобой. Постановлением Девятого арбитражного апелляционного суда от 20.12.2021, оставленным без изменения постановлением Арбитражного суда Московского округа от 27.04.2022, производство по апелляционной жалобе заявителя прекращено на основании пункта 1 части 1 статьи 150 Арбитражного процессуального суда Российской Федерации в связи с её подачей лицом, не имеющим права на обжалование судебного акта; определение суда первой инстанции от 01.10.2021 оставлено без изменения.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и подтверждая законность такого прекращения, суды апелляционной инстанции и округа, руководствуясь статьёй 150 Арбитражного процессуального кодекса Российской Федерации, статьями 34, 35, пунктом 3 статьи 123 Федерального закона от 26.10.2002 № 127-ФЗ «О несостоятельности (банкротстве)», исходили из того, что на момент её подачи в отношении должника не была введена процедура конкурсного производства, в связи с чем пришли к выводу об отсутствии у представителя участников должника права на обжалование в порядке апелляционного производства судебного акта, принятого в процедуре наблюдения.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Производство по настоящей жалобе в части обжалования определения Арбитражного суда города Москвы от 01.10.2021 по делу № А40-125809/2020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пунктом 1 части 2 статьи 291.1 Арбитражного процессуального кодекса Российской Федерации, как поданная с нарушением правил инстанционной подсудности.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участников общества с ограниченной ответственностью «СтройМодерн» Сергеевой Александре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Девятого арбитражного апелляционного суда от 20.12.2021 и постановления Арбитражного суда Московского округа от 27.04.2022 по делу № А40-125809/2020. Производство по кассационной жалобе представителя участников общества с ограниченной ответственностью «СтройМодерн» Сергеевой Александры Сергеевны в части обжалования определения Арбитражного суда города Москвы от 01.10.2021 по тому же делу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