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Поскольку ответственность лица в рассматриваемом случае зависит от суммы незаконной операции, оснований для применения положений части 3.2 статьи 4.1 и статьи 4.1.1 Кодекса Российской Федерации об административных правонарушениях не установлено, вынесение нескольких постановлений о назначении административного наказания не нарушило права и законные интересы общества. 2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«АТРИУМ-XXI ВЕК»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