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намерении погасить требования кредиторов к должнику в полном объёме. Определением Арбитражного суда Самарской области от 02.02.2022 требования кредиторов признаны погашенными, за исключением требования общества в размере 402 216 рублей 88 копеек; в удовлетворении ходатайства о прекращении производства по делу отказано. Постановлением Одиннадцатого арбитражного апелляционного суда от 22.03.2022 данное определение в части признания требований кредиторов частично погашенными отменено, заявление в указанной части оставлено без удовлетворения. В остальной части определение суда первой инстанции от 02.02.2022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отказа в удовлетворении ходатайства о прекращении производства по делу.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 и отказывая в прекращении производства по делу, суды первой и апелляционной инстанции, руководствуясь положениями статей 57, 113, 125 Федерального закона от 26.10.2002 № 127-ФЗ «О несостоятельности (банкротстве)», исходили из того, что требование общества, не заявившего отказ от него, не погашено должником и числится таковым в реестре требований кредиторов должника.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