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«Диэлектрические кабельные системы» (далее – общество) обратилось в Арбитражный суд города Москвы с заявлением к Центральной электронной таможне (далее – таможенный орган) о признании незаконным решения о классификации товаров от 02.12.2020 № РКТ-10131010-20/000096. Решением Арбитражного суда города Москвы от 01.10.2021, оставленным без изменения постановлением Девятого арбитражного апелляционного суда от 22.12.2021, заявление общества удовлетворено. Арбитражный суд Московского округа постановлением от 06.04.2022 оставил без изменения решение суда первой инстанции и постановление суда апелляционной инстанции. Таможенный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заявления. Письмом судьи Верховного Суда Российской Федерации от 29.07.2022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оценив представленные в материалы дела доказательства применительно к функциональному предназначению и особенностям конструкции спорных товаров, ввезенных обществом на таможенную территорию Российской Федерации, сопоставив эти сведения с описанием товарных субпозиций ТН ВЭД ЕАЭС, применение которых вызвало спор между обществом и таможенным органом, руководствуясь положениями ТН ВЭД ЕАЭС, Пояснениями, рекомендованными к применению Коллегией Евразийской экономической комиссии от 07.11.2017 № 21 «О Пояснениях к единой Товарной номенклатуре внешнеэкономической деятельности Евразийского экономического союза», Основными правилами интерпретации ТН ВЭД, решением Евразийской экономической комиссии от 28.01.2020 № 14 «О классификации стального шкафа в соответствии с единой товарной номенклатурой внешнеэкономической деятельности евразийского экономического союза», суды признали неправомерной классификацию спорного товара, произведенную таможенным органом.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признали незаконным оспариваемое решение таможенного органа и удовлетворили заявление общества. Обжалуя судебные акты в Верховный Суд Российской Федерации, таможенный орган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особенностями конструкции спорного товара и областью его применения. Несогласие таможенного органа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таможенного органа направлены на переоценку доказательств и фактических обстоятельств данного дела, установленных судами, в том числе относительно наличия особенностей конструкции спорного товара, что не отнесено к полномочиям Судебной коллегии Верховного Суда Российской Федерации. С учетом изложенного приведенные таможенным органом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таможенного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АО "Диэлектрические кабельные системы" (подробнее) Ответчики: Центральное таможенное управление (подробнее) ЦЭЛТ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