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17.08.2022 направило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Ссылки на то, что финансово-хозяйственная деятельность общества была парализована в период с февраля по июль 2022 года, о наличии уважительных причин не свидетельствуют. Заявитель является инициатором спора по делу и последующего обжалования, представитель общества участвовал в судебном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обратился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Согласно правовой позиции,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внутренние организационные проблемы заявителя не могут являться основанием для восстановления пропущенного процессуального срока.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 184 ,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«Тиссенкрупп Элеватор»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"ТиссенКрупп Элеватор" (подробнее) Ответчики: Инспекция Федеральной налоговой службы №25 по городу Москве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