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13.08.2022 повторно направил в Верховный Суд Российской Федерации кассационную жалобу и одновременно заявил ходатайство о восстановлении пропущенного срока. Согласно части 2 статьи 2912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Принимая во внимание положения части 3 статьи 2915 Арбитражного процессуального кодекса Российской Федерации, согласно которым возвращение кассационной жалобы не препятствует повторному обращению с кассационной жалобой после устранения обстоятельств, послуживших основанием для ее возвращения, учитывая своевременное направление первоначальной жалобы (07.08.2022), а также оперативное устранение заявителем причин, послуживших основанием для возврата первоначально поданной жалобы, в целях обеспечения процессуальных гарантий, вытекающих из права на судебную защиту, включающего и право на обжалование судебных постановлений, ходатайство о восстановлении срока подлежит удовлетворению, пропущенный срок подлежит восстановлению. Руководствуясь статьями 117, 184, 185, 2912, 2915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Мальковской Натальи Владимировны о восстановлении пропущенного срока удовлетворить, срок на подачу кассационной жалобы восстановить.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