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24.12.2021, оставленным без изменения постановлением Девятого арбитражного апелляционного суда от 01.03.2022 и постановлением Арбитражного суда Московского округа от 01.06.2022, заявление удовлетворено. В кассационной жалобе Шварцман О.С. просит об отмене судебных актов, ссылаясь на игнорирование отсутствия доказательств предоставления денежных средств по одному из договоров и погашение долга по другому.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Возражения должника, аналогичные доводам жалобы, рассмотрены, оценены и признаны не подтвержденными, а заявление признано обоснованным применительно к критериям статей 71, 100 Федерального закона от 26.10.2002 № 127-ФЗ «О несостоятельности (банкротстве)» и их судебному толкованию.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Шварцману Олегу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