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25.12.2020, оставленным без изменения постановлением Тринадцатого арбитражного апелляционного суда от 12.05.2021 и постановлением Арбитражного суда Северо-Западного округа от 10.08.2021, в удовлетворении заявления отказано. В кассационной жалобе ФИО2 просит об отмене судебных актов, ссылаясь на нарушение права на судебную защиту.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финансовый управляющий действовал в пределах статьи 213.25 Федерального закона от 26.10.2002 № 127-ФЗ «О несостоятельности (банкротстве)» и в целях защиты конкурсной массы, не удовлетворив ходатайство должника об оплате юридических услуг.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