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30.04.2021 в удовлетворении заявления отказано. Постановлением Первого арбитражного апелляционного суда от 17.01.2022, оставленным без изменения постановлением Арбитражного суда Волго-Вятского округа от 28.04.2022, определение от 30.04.2021 отменено, заявление удовлетворено. В кассационной жалобе Максименко Н.Л. просит об отмене судебных актов апелляционного и окружного судов, ссылаясь на ненадлежащую оценку характеристик имущества и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дарения во избежание обращения взыскания на спорный дом по существующему долгу и невыбытие из владения должника дома вследствие совершения сделки, поэтому признали дарение ничтожным в силу статей 10, 168, 170 Гражданского кодекса Российской Федерации. Вопросы о технических характеристиках дома и его исполнительском иммунитете выходят за пределы рассматриваемого заявления и не препятствуют возврату дома в конкурсную массу в ситуации недобросовестности должника при совершении сделки с ним.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Максименко Наталье Львовне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