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августа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15.11.2021, оставленным без изменения постановлением Девятого арбитражного апелляционного суда от 21.02.2022 и постановлением Арбитражного суда Московского округа от 23.05.2022, иски удовлетворены, в результате зачета взысканных сумм с общества «Норма» в пользу общества «Столичные поставки» взыскано 42 410 рублей 89 копеек убытков. В кассационной жалобе общество «Норма» просит о пересмотре указанных судебных актов, ссылаясь на нарушение в исследовании и оценке доказательств, неосновательную переквалификацию встречных требований.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доводами жалобы не усматривается. Исследовав правоотношения сторон в связи с перевозкой грузов, суды установили встречное нарушение обязательств, поэтому удовлетворили иски в соответствии с обстоятельствами исполнения обязательств и статьями 15 , 393 , 801 Гражданского кодекса Российской Федерации. Правовая квалификация требований и оценка доказательств находятся в компетенции суда.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«Норма»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"Норма" (подробнее) Ответчики: ООО "Столичные поставки" (подробнее) Судьи дела: Ксенофонтова Н.А. (судья)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