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«Промстройсервис» (далее – общество) обратилось в Арбитражный суд города Москвы с заявлением к Инспекции Федеральной налоговой службы № 31 по г. Москве (далее – инспекция) о признании недействительным решения от 15.07.2019 № 21/27 в части доначисления налога на прибыль и налога на добавленную стоимость (далее – НДС) в общей сумме 198 955 806 рублей, соответствующих сумм пеней и штрафа. Решением Арбитражного суда города Москвы от 11.08.2021, оставленным без изменения постановлением Девятого арбитражного апелляционного суда от 24.11.2021, заявление общества удовлетворено. Арбитражный суд Московского округа постановлением от 29.03.2022 оставил без изменения решение суда первой инстанции и постановление суда апелляционной инстанции. Инспекция обратилась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18.07.2022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оценив представленные в материалы дела доказательства и установив реальность хозяйственных операций общества по приобретению товаров (работ, услуг) у обществ с ограниченной ответственностью «СК «АЛМАЗ», «ОЛИМПСТРОЙ», «НПО ТРАНС» и «КАСКАД», руководствуясь положениями статей 169 , 171 , 172 , 252 Налогового кодекса Российской Федерации,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правомерности учета обществом в составе затрат, уменьшающих налоговую базу по налогу на прибыль, спорных расходов, а также о правомерности применения спорных налоговых вычетов по НДС.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неправомерным решение инспекции в оспариваемой части и удовлетворили требования общества. Обжалуя судебные акты в Верховный Суд Российской Федерации, инспекция приводит доводы, которые являлись предметом рассмотрения судов и получили надлежащую правовую оценку применительно к конкретным установленным фактическим обстоятельствам дела. Несогласие инспекции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инспекции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инспекцией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инспекции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АО "ПРОМСТРОЙСЕРВИС" (подробнее) Ответчики: ИФНС №31 по г. Москве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