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Воронежской области от 02.02.2022, оставленным без изменения постановлением Девятнадцатого арбитражного апелляционного суда от 14.04.2022 и постановлением Арбитражного суда Центрального округа от 09.06.2022, заявление должника об исключении из конкурсной массы квартиры удовлетворено. В кассационных жалобах заявители просят об отмене судебных актов, ссылаясь на искусственное придание квартире исполнительского иммунитета и заведомое намерение должника на непогашение долга.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попадание спорного имущества под исполнительский иммунитет, разрешив заявление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(банкротстве)». Доводы о недобросовестности должника оценены в соответствии с правомочиями судов и признаны не влияющими на судьбу спорного имущества.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Микаелян Юлии Игоревне и Кону Евгению Генбоковичу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