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03.09.2021, оставленным без изменения постановлением Восьмого арбитражного апелляционного суда от 17.01.2022 и постановлением Арбитражного суда Западно-Сибирского округа от 06.04.2022, заявление удовлетворено. В кассационной жалобе Матвейчук С.П. просит об отмене судебных актов, ссылаясь на ненадлежащее исследование обстоятельств заключения договоров.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Иная оценка заявителем установленных обстоятельств совершения сделок с транспортным средством не создает указанных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Матвейчуку С.П.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