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Черевача Андрея Ивановича в Арбитражный суд Краснодарского края обратился финансовый управляющий имуществом должника с заявлением о признании недействительным договора купли-продажи от 12.01.2015 12/13 долей в праве общей долевой собственности на земельный участок и 1/13 доли в праве общей долевой собственности на земельный участок, заключенный должником и Казанцевым Я.Ю. Определением Арбитражного суда Краснодарского края от 09.07.2021 в удовлетворении заявления отказано. Постановлением Пятнадцатого арбитражного апелляционного суда от 11.03.2022 определение суда первой инстанции оставлено без изменения. Арбитражный суд Северо-Кавказского округа постановлением от 09.06.2022 указанные судебные акты оставил без изменения. Кредитор – ООО «Славянские железобетонные конструкции» обратилось в Судебную коллегию Верховного Суда Российской Федерации с кассационной 2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признании недействительной сделки, суды руководствовались положениями статей 181, 195, 196, 199 Гражданского кодекса Российской Федерации и исходили из пропуска финансовым управляющим срока исковой давности, установив, что финансовый управляющий достоверно знал о наличии у должника имущества (спорного земельного участка) начиная с 07.09.2017, а с 30.11.2018 – о выбытии участка из имущества должника и совершенной оспариваемой сделке.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