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13.10.2021, оставленным без изменения постановлением Девятого арбитражного апелляционного суда от 02.02.2022, в удовлетворении заявления отказано. Постановлением Арбитражного суда Московского округа от 20.04.2022 определение и постановление апелляционного суда отменены, дело направлено на новое рассмотрение в суд первой инстанции. В кассационной жалобе ФИО1 просит отменить постановление суда округа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округа, признав необходимость нового рассмотрения заявления для установления не исследованных судами нижестоящих инстанций обстоятельств, имеющих правовое значение для разрешения спора, действовал в пределах полномочий, предоставленных статьями 286 – 288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Акционерный коммерческий банк "Инвестиционный торговый банк" (подробнее) Иные лица: Ceriden Enterprises Limited (подробнее) Chief Secretary for Administration Hong Kong Special Administrative Region Government (подробнее) Ассоциации МСРО "Содействие" (подробнее) Ассоциация СРО ПАУ ЦФО (подробнее) ИФНС №29 по г.Москве (подробнее) САУ "Авангард"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