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20.12.2021, оставленным без изменения постановлением Тринадцатого арбитражного апелляционного суда от 21.02.2022 и постановлением Арбитражного суда Северо-Западного округа от 01.06.2021, заявление банка признано обоснованным, в отношении ФИО1 введена процедура реструктуризации долгов гражданина, утвержден финансовый управляющий, требования банка в размере 14 342 654 рублей 60 копеек основного долга, 12 614 491 рубля 89 копеек процентов, 102 000 рублей комиссии и 25 000 000 рублей неустойки включены в третью очередь реестра. В кассационной жалобе ФИО1 просит об отмене судебных актов, ссылаясь на отсутствие у банка права требования не взысканных в судебном порядке сумм.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Заявление банка удовлетворено в соответствиями с условиями договора поручительства от 22.10.2013 № 0522-2962 и статьей 363 Гражданского кодекса Российской Федерации. Приведенные в жалобе доводы являлись предметом рассмотрения судов, получили надлежащую правовую оценку и не создают указанных оснований для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"БАЛТИЙСКИЙ ИНВЕСТИЦИОННЫЙ БАНК" (подробнее) Судьи дела: Ксенофонтова Н.А. (судья) Судебная практика по: Поручительство Судебная практика по применению норм ст. 361, 363, 367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