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15.10.2021, оставленным без изменения постановлением Девятого арбитражного апелляционного суда от 08.02.2022 и постановлением Арбитражного суда Московского округа от 23.05.2022, признаны недействительными договор купли-продажи недвижимости от 20.04.2017, договор дарения машиноместа от 24.05.2017 и договор дарения ½ доли квартиры от 24.05.2017, заключенные должником с ФИО2, последний обязан возвратить полученное по сделкам в конкурсную массу должника. В кассационной жалобе ФИО1 просит об отмене судебных актов, ссылаясь на неправильную оценку обстоятельств заключения оспариваемых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заключение оспариваемых договоров с заинтересованным лицом на безвозмездной основе во вред имущественным правам имеющихся кредиторов, признали наличие условий для их недействительности в силу части 2 статьи 61.2 Федерального закона от 26.10.2002 № 127-ФЗ «О несостоятельности (банкротстве)». Иная оценка должником обстоятельств заключения сделок не создает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ИФНС России №14 по г. Москве (подробнее) ООО "Лойд" (подробнее) Иные лица: АУ СРО "Северная столица" (подробнее) НП "Саморегулируемая организация арбитражных управляющих "Северная столица" (подробнее) ПАО Банк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