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02.11.2021, оставленным без изменения постановлением Третьего арбитражного апелляционного суда от 20.01.2022 и постановлением Арбитражного суда Восточно-Сибирского округа от 19.04.2022, процедура реализации имущества должника завершена без применения правил об освобождении от дальнейшего исполнения обязательств. В кассационной жалобе ФИО1 просит об отмене судебных актов в части неосвобождения от исполнения обязательств, ссылаясь на невынесение на обсуждение обстоятельств, указывающих на недобросовестность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исследования поведения должника в процедурах банкротства суды установили действия,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кредиторами. Приведенный в жалобе довод противоречит установленным обстоятельствам.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"ОТП Банк" (подробнее) ГИБДД (подробнее) МИФНС №23 по КК (подробнее) ПАО "Совкомбанк" (подробнее) Петриченко П.Ю. (ф/у Туртурян С.П.) (подробнее) Россия, 660001, г.Красноярск, Красноярский край, ул. Ладо Кецховели, 22А-191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