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Карабашева С.Г. в Арбитражный суд города Москвы обратился кредитор – Руденко И.Н. с заявлением о признании недействительным брачного договора от 13.04.2013, заключенного между должником и Карабашевой Н.А., и применении последствий недействительности сделки. Определением Арбитражного суда города Москвы от 10.01.2022 заявление удовлетворено; брачный договор признан недействительным; применены последствия недействительности сделки в виде обязания Карабашевой Н.А. возвратить в общую совместную собственность с должником имущество, перечисленное в брачном договоре. Постановлением Девятого арбитражного апелляционного суда от 12.04.2022 определение суда первой инстанции оставлено без изменения. Арбитражный суд Московского округа постановлением от 16.06.2022 указанные судебные акты оставил без изменения. 2 Карабашев С.Г.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брачный договор недействительным, суды исходили из доказанности наличия совокупности обстоятельств, необходимой для признания сделки недействительной на основании пункта 2 статьи 61.2 Федерального закона от 26.12.2002 № 127-ФЗ «О несостоятельности (банкротстве)», с учетом положений статей 10, 168 Гражданского кодекса Российской Федерации, признав не пропущенным срок исковой давности.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