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22.11.2021, оставленным без изменения постановлением Девятого арбитражного апелляционного суда от 03.02.2022 и постановлением Арбитражного суда Московского округа от 25.04.2022, исправлены опечатки, допущенные в определении Арбитражного суда города Москвы от 17.09.2021. В кассационной жалобе Денисов И.С. просит отменить судебные акты в отношении опечаток, ссылаясь на то, что в таком качестве не может быть исправлен о оглашение неправильной резолютивной части определения.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посредством исправления опечатки суды привели в соответствие полный текст определения с оглашенной в судебном заседании его резолютивной части. Произведенное судом устранение опечаток укладывается в пределы статьи 179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Ивану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