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22 августа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Кировской области от 11.08.2021 в удовлетворении иска отказано. Второй арбитражный апелляционный суд постановлением от 28.12.2021, оставленным без изменения постановлением Арбитражного суда Волго- Вятского округа от 22.04.2022, отменил решение от 11.08.2021 и удовлетворил иск в заявленном размере. В кассационной жалобе Четверикова В.А. просит об отмене судебных актов апелляционного и окружного судов, ссылаясь на нарушение пределов рассмотрения дела судом апелляционной инстанции, необоснованность выводов об ответственности перевозчика и размере ущерба.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2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 Суд апелляционной инстанции исследовал дополнительные доказательства в пределах установленной статьей 268 Арбитражного процессуального кодекса Российской Федерации компетенции на повторное рассмотрение дела. В нарушение требования статьи 796 Гражданского кодекса Российской Федерации предприниматель не доказал непричастности к повреждению принятого к перевозке груза.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индивидуальному предпринимателю Четверикову В.А.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