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26.04.2022, оставленным без изменения постановлением Девятого арбитражного апелляционного суда от 27.05.2022, принят уточненный финансовым управляющим предмет требований, заявление передано в Московский городской суд для направления в суд общей юрисдикции, к подсудности которого отнесено. В кассационной жалобе ФИО1 просит отменить судебные акты, ссылаясь на неправильную оценку спариваемой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 оспариваемой односторонней сделки признака совершенной за счет имущества должника, необходимого для проверки ее в рамках дела о банкротстве должника.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АНО Московский областной судебный центр оценки и экспертизы эксперту Волковой О.Т. (подробнее) АО СК России ГСУ СК России по г. Москве СУ по Южному г.Москвы Симоновский межрайонный следственный отдел города Москвы (подробнее) ГУ ГИБДД МВД России по г. Москве (подробнее) ГУ МВД России по г.москве (подробнее) ГУ Управление ГИБДД МВД России по г. Москве (подробнее) Союз "СРО АУ "Стратегия" (подробнее) ФКУ НПО "СТиС" МВД России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