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22.11.2021, оставленным без изменения постановлением Девятого арбитражного апелляционного суда от 03.02.2022 и постановлением Арбитражного суда Московского округа от 25.04.2022, исправлены опечатки, допущенные в определении Арбитражного суда города Москвы от 17.09.2021. В кассационной жалобе ФИО1 просит отменить судебные акты в отношении опечаток, ссылаясь на то, что в таком качестве не может быть исправлен о оглашение неправильной резолютивной части определения.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посредством исправления опечатки суды привели в соответствие полный текст определения с оглашенной в судебном заседании его резолютивной части. Произведенное судом устранение опечаток укладывается в пределы статьи 179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"Банк Русский Стандарт" (подробнее) ООО "Югория" (подробнее) ПАО АКБ "Связь-Банк" (подробнее) ПАО Банк ВТБ (подробнее) ПАО "МКБ" (подробнее) ПАО "Промсвязьбанк" (подробнее) Ответчики: И.С. Денисов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