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07.02.2022, оставленным без изменения постановлением Девятого арбитражного апелляционного суда от 07.04.2022 и постановлением Арбитражного суда Московского округа от 31.05.2022, заявление удовлетворено. В кассационных жалобах заявители просят об отмене судебных актов, ссылаясь на непредставление обосновывающих требование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обоснованность требования для включения его в реестр применительно к статьям 71 , 100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№29 по г. Москве (подробнее) ПАО " Сбербанк России" (подробнее) Иные лица: АУ СРО Возрождение (подробнее) Союз Арбитражных Управляющих "Возрождение"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