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Гизатуллина Тимура Хамитовича в Арбитражный суд города Москвы обратилось ООО «Космополис Финанс» с требованием о включении задолженности в размере 502 288 237 рублей 60 копеек в реестр требований кредиторов должника. Определением Арбитражного суда города Москвы от 21.12.2021 заявление удовлетворено. Постановлением Девятого арбитражного апелляционного суда от 25.03.2022 определение суда первой инстанции отменено; в удовлетворении заявления отказано. Арбитражный суд Московского округа постановлением от 10.06.2022 постановление суда апелляционной инстанции оставил без изменения. ООО «Космополис Финанс»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и, установив, что должник осуществлял непосредственный корпоративный и управленческий контроль над кредитором, является контролирующим кредитора лицом, пришли к выводу о том, что сделки по возврату финансирования подконтрольного должнику общества не могут быть квалифицированы как неосновательное обогащение.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