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Золотарева В.А. обратилась в суд с заявлением о признании недействительной сделкой дополнительных соглашений от 03.07.2018 № 8 и от 22.04.2019 № 9 к договору субподряда от 20.01.2017 № 1/0-А-РЕК-2017, заключенному между обществом с ограниченной ответственностью «Специализированная строительная компания «Газрегион» и должником. Определением Арбитражного суда Республики Крым от 06.12.2021 заявление удовлетворено. Постановлением Двадцать первого арбитражного апелляционного суда от 11.02.2022, оставленным без изменения постановлением Арбитражного суда Центрального округа от 24.05.2022, отменено определение суда первой инстанции от 06.12.2021, отказано в удовлетворении заявления. Впоследствии определением Арбитражного суда Центрального округа от 26.05.2022, оставленным без изменения определением Арбитражного суда Центрального округа от 15.07.2022, исправлена опечатка в резолютивной части от 17.05.2022 и резолютивной части полного текста постановления суда округа от 24.05.2022; из текста исключены слова «определение Арбитражного суда Республики Крым от 06.12.2021», первый абзац резолютивной части изложен 2 в следующей редакции: «постановление Двадцать первого Арбитражного апелляционного суда от 11.02.2022 по делу № А83-3542/2020 оставить без изменения, кассационную жалобу – без удовлетворения». В кассационной жалобе, поданной в Верховный Суд Российской Федерации, заявитель просит отменить названные судебные акты судов апелляционной инстанции и округа, оставить в силе определение суда первой инстанции. Письмом Верховного Суда Российской Федерации от 17.08.2022 № 310-ЭС22-14930 настоящая кассационная жалоба заявителя в части обжалования постановлений Двадцать первого арбитражного апелляционного суда от 11.02.2022 и Арбитражного суда Центрального округа от 24.05.2022 по настоящему делу возвращена без рассмотрения на основании пункта 3 части 1 статьи 291.5 Арбитражного процессуального кодекса Российской Федерации как поданная по истечении срока, установленного частью 1 статьи 291.2 Арбитражного процессуального кодекса Российской Федерации, и не содержащая ходатайство о его восстановлении.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Исправляя опечатку, суд округа руководствовался положениями части 3 статьи 179 Арбитражного процессуального кодекса Российской Федерации. Проверяя законность исправления опечатки, судебная коллегия окружного суда не установила нарушений норм процессуального права. Нарушений норм процессуального права, влекущих за собой безусловную отмену указанных судебных актов, судом округа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 «Строй Регион Развитие» Золотаревой Вере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