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третью очередь реестра требований кредиторов должника (далее – реестр) его требований в общем размере 52 323 897 рублей 79 копеек. Определением Арбитражного суда Республики Крым от 23.11.2021, оставленным без изменения постановлениями Двадцать первого арбитражного апелляционного суда от 07.02.2022 и Арбитражного суда Центрального округа от 23.05.2022, требования общества в размере 52 118 061 рубль 78 копеек признаны обоснованными и подлежащими удовлетворению за счёт имущества, оставшегося после удовлетворения требований, включенных в реестр; отказано в удовлетворении остальной части заявленных требований. В кассационной жалобе, поданной в Верховный Суд Российской Федерации, заявитель просит изменить названные судебные акты и признать требования общества в размере 52 118 061 рубль 78 копеек подлежащими включению в третью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71, 142 и 143 Федерального закона от 26.10.2002 № 127-ФЗ «О несостоятельности (банкротстве)», исходи из обращения общества в суд после закрытия реестра, с пропуском предусмотренного срока, при этом обоснованно отклонив доводы заявителя о наличии препятствий для совершения соответствующих процессуальных действий.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«Волгогаз»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