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Ташкиновой О.А. в Арбитражный суд Пермского края обратился финансовый управляющий ее имуществом Рожин С.А. с заявлением о разрешении разногласий. Определением Арбитражного суда Свердловской области от 13.08.2021 разрешены разногласия, возникшие между финансовым управляющим и должником: из конкурсной массы исключена 1/4 доли в квартире; производство по заявлению о признании неправомерным сокрытия должником информации по подозрительным сделкам, осуществленным должником в преддверии банкротства, необходимой финансовому управляющему для проведения анализа финансового состояния должника и анализа оснований для оспаривания сделок должника, и признании неправомерным неизвещение должником финансового управляющего, арбитражный суд и кредиторов о смене места жительства приостановлено до рассмотрения итогового отчета финансового управляющего по результатам процедуры реализации имущества должника; заявление финансового управляющего в оставшейся части оставлено без удовлетворения. Постановлением Семнадцатого арбитражного апелляционного суда от 03.02.2022 определение суда первой инстанции в части отменено; в конкурсную массу должника включена 1/4 доли в общей долевой собственности в спорной квартире. Арбитражный суд Уральского округа постановлением от 26.05.2022 постановление суда апелляционной инстанции оставил без изменения. 2 Ташкинова О.А. обратилась в Судебную коллегию Верховного Суда Российской Федерации с кассационной жалобой на принятые по спору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разногласия между финансовым управляющим и должником по вопросу включения в конкурсную массу должника спорного жилого помещения, суды апелляционной и кассационной инстанций руководствовались положениями статей 131, 213.25 Федерального закона от 26.10.2002 № 127-ФЗ «О несостоятельности (банкротстве)», статьей 446 Гражданского процессуального кодекса Российской Федерации и исходили из того, что спорное жилое помещение не является единственным пригодным для проживания жилым помещением для должника и членов ее семьи, поскольку ранее за иным объектом недвижимости судом был признан статус единственного жилья должника и членов ее семьи.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