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Ханты-Мансийского автономного округа – Югры от 28.12.2021 исковые требования удовлетворены. Постановлением Восьмого арбитражного апелляционного суда от 06.04.2022 решение суда первой инстанции изменено, с компании в пользу общества взыскано 204 264 руб. убытков, в удовлетворении остальной части требований отказано. Постановлением Арбитражного суда Западно-Сибирского округа от 27.06.2022 указанные судебные акты оставлены без изменения. В кассационной жалобе, поданной в Верховный Суд Российской Федерации, компания просит отменить обжалуемые судебные акты как принятые с нарушением норм материального и процессуального права.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 факт разлива топлива на месте стоянки принадлежащего компании воздушного судна, выполнения обществом работ по его устранению и отсутствие доказательств, опровергающих размер понесенных последним расходов, суды пришли к выводу о наличии оснований для удовлетворения иска в части взыскания с компании 204 264 руб., с чем впоследствии согласился суд округа. Доводы кассационной жалобы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публичного акционерного общества «Авиакомпания ЮТейр»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