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Верховного Суда Российской Федерации от 14.06.2022 № 305-ЭС22-7253 производство по настоящей кассационной жалобе приостановлено. В связи с принятием постановления Конституционного Суда Российской Федерации от 21.07.2022 № 34-П условия для приостановления отпали, в силу чего производство по жалобе подлежит возобновлению. На основании изложенного и руководствуясь статьями 145, 146 и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возобновить производство по кассационной жалобе конкурсного управляющего акционерным обществом «Акционерный коммерческий банк «Легион» государственной корпорации «Агентство по страхованию вкладов» на определение Арбитражного суда Московской области от 05.04.2021 и постановление Десятого арбитражного апелляционного суда от 16.11.2021 по делу № А41-83224/2019.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