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24.08.2021, оставленным без изменения постановлением Седьмого арбитражного апелляционного суда от 16.11.2021 и постановлением Арбитражного суда Западно-Сибирского округа от 21.04.2022, в удовлетворении исковых требований отказано. В кассационной жалобе, поданной в Верховный Суд Российской Федерации, кооператив, ссылаясь на незаконность указанных судебных актов, просит их отменить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имеющиеся в деле доказательства, установив, что собственники помещений в многоквартирных домах (далее – МКД) приняли решение о заключении прямых договоров с региональным оператором, суды первой и апелляционной инстанций заключили, что действие спорного договора прекращено. Исходя из того, что переход общества на прямые договоры с собственниками помещений в МКД не затрагивает отношения кооператива с ресурсоснабжающей организацией; установив, что начисление платы за услугу «Обращение с твердыми коммунальными отходами» происходит напрямую собственникам помещений, расположенных в МКД; из представленных в материалы дела кооперативом документов не усматривается факт перечисления им денежных средств обществу; учитывая отсутствие иного факта неправомерного удержания обществом принадлежащих кооперативу денежных средств, суды пришли к выводу об отсутствии оснований для удовлетворения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жилищного кооператива «Кузнецкстроевский»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