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должника обратился в суд с заявлением о признании недействительными договора аренды от 27.09.2018 и договора аренды от 27.08.2019 № 4, заключенных между должником и индивидуальным предпринимателем Башковым Михаилом Владимировичем. Определением Арбитражного суда Московской области от 27.08.2021, оставленным без изменения постановлениями Десятого арбитражного апелляционного суда от 18.11.2021 и Арбитражного суда Московского округа от 04.05.2022,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ссылаясь на нарушение норм материального и процессуального права, дело направить на новое рассмотрение в Арбитражный суд Московской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оценив представленные доказательства, руководствуясь статьёй 170 Гражданского кодекса Российской федерации, пунктом 2 статьи 61.2 Федерального закона от 26.10.2002 № 127-ФЗ «О несостоятельности (банкротстве)», пунктами 5 –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совокупности условий для признания недействительными оспариваемых сделок.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кассационных жалоб не установлено. Доводы заявителя, в том числе о пропуске срока исковой давности, были предметом рассмотрения судов, их выводы не опровергают и направлены на переоценку установленных по делу фактических обстоятельств, что не входит в полномочия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«Прибор- Контроль» Ишутину Владимиру Юрьевичу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