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26.03.2021 удовлетворены требования общества с ограниченной ответственностью «Неотэк», Инспекции Федеральной налоговой службы по Центральному району г. Новосибирска о привлечении к субсидиарной ответственности солидарно Николаева В.В. и Аташяна Рафаеля Мкртичовича в размере 12 481 342 рублей 55 копеек. Не согласившись с названным судебным актом, заявитель обратился с апелляционной жалобой и ходатайством о восстановлении пропущенного срока на её подачу. Определением Седьмого арбитражного апелляционного суда от 24.01.2022, оставленным без изменения постановлением Арбитражного суда Западно-Сибирского округа от 29.04.2022,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нарушением срока подачи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судебные акты, восстановить срок на подачу апелляционной жалобы.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руководствуясь статьями 117, 150, 259, 271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25.12.2013 № 99 «О процессуальных сроках», исходили из отсутствия уважительных причин пропуска процессуального срока обжалования судебного акта заявителем, осведомлённым о начавшемся процессе в рамках настоящего дела, не подтвердившим наличие объективных препятствий и ограничений возможности совершения лично либо через представителя соответствующего процессуального действия в разумный срок.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Николаеву Виктору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