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Межрайонная инспекция Федеральной налоговой службы № 7 по Санкт-Петербургу (далее - уполномоченный орган) обратилась в суд с жалобой на действия конкурного управляющего должником, выразившиеся в несоблюдении очередности удовлетворения требований уполномоченного органа по текущим платежам. Определением Арбитражного суда города Санкт-Петербурга и Ленинградской области от 10.12.2021, оставленным без изменения постановлениями Тринадцатого арбитражного апелляционного суда от 28.02.2022 и Арбитражного суда Северо-Западного округа от 21.06.2022, жалоба уполномоченного органа удовлетворена.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и процессуального права, дело направить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в дело доказательства в соответствии с правилами главы 7 Арбитражного процессуального кодекса Российской Федерации, руководствуясь положениями статьи 20.3, пунктом 2 статьи 134 Федерального закона от 26.10.2002 № 127-ФЗ «О несостоятельности (банкротстве)», правомерно исходили из нарушения конкурсным управляющим очередности удовлетворения текущих требований уполномоченного органа. Доводы заявителя выводы судов не опровергают, не свидетельствуют о неправильном применении норм права, направлены на несогласие с принятыми по делу судебными актами, оснований для их переоценки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«Оборонмедстрой» Ляпиной Алене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