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04.10.2021 завершена процедура реализации имущества ФИО1, должник освобожден от дальнейшего исполнения требований кредиторов, в том числе требований кредиторов, не заявленных при реализации имущества гражданина. Постановлением Девятого арбитражного апелляционного суда от 18.01.2022 определение суда первой инстанции в обжалуемой части отменено; в отношении должника не применено правило об освобождении от дальнейшего исполнения требований кредитора НПФ «Индустриальный». Арбитражный суд Московского округа постановлением от 05.04.2022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 апелляционной инстанции пришел к выводу о неприменении правила об освобождении должника от исполнения обязательств перед кредитором, поскольку в результате недобросовестного поведения должника, установленного вступившими в законную силу судебными актами, этому кредитору были причинены убытки. Суд округа поддержал выводы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НПФ "Индустриальный" (подробнее) ПАО "РОСБАНК" (подробнее) ПАО РОСБАНК (подробнее) Иные лица: Ф/у Шкляев Евгений Васильевич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