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«Атлант» обратилось в Арбитражный суд города Москвы с иском о взыскании с ООО «ОМИА УРАЛ» 749 800 рублей неустойки. Решением Арбитражного суда города Москвы от 22.11.2021 иск удовлетворен в части взыскания 675 000 рублей неустойки, в удовлетворении иска в остальной части отказано. Постановлением Девятого арбитражного апелляционного суда от 20.01.2022 решение суда первой инстанции оставлено без изменения. Арбитражный суд Московского округа постановлением от 27.04.2022 указанные судебные акты оставил без изменения. ООО «ОМИА УРАЛ»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истец является оператором подвижного состава, признав доказанным факт нарушения ответчиком (грузоотправителем) установленных сроков оборота вагонов, руководствуясь положениями статей 309 , 310 , 329 , 330 Гражданского кодекса Российской Федерации, статьями 99 , 100 Федерального закона от 10.01.2003 № 18-ФЗ «Устав железнодорожного транспорта Российской Федерации», суды пришли к выводу о правомерности требования о взыскании законной неустойки, снизив ее размер на основании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"Тк "Атлант" (подробнее) Ответчики: ООО "ОМИА УРАЛ"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