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«Витта компани» обратилось в Арбитражный суд Московской области с иском о взыскании с ИП ФИО1 759 542 рублей 40 копеек убытков за утрату груза и расторжении договора от 29.10.2019 № ВКх-137/19 перевозки груза автомобильным транспортом. Определением Арбитражного суда Московской области от 11.05.2021 дело передано по подсудности в Арбитражный суд города Санкт-Петербурга и Ленинградской области. Решением Арбитражного суда города Санкт-Петербурга и Ленинградской области от 07.10.2021 иск удовлетворен в части взыскания убытков, требование о расторжении договора оставлено без рассмотрения. Постановлением Тринадцатого арбитражного апелляционного суда от 24.01.2022 решение суда первой инстанции оставлено без изменения. Арбитражный суд Северо-Западного округа постановлением от 28.04.2022 указанные судебные акты оставил без изменения. ИП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 доказанным факт утраты груза при его транспортировке,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установив размер заявленных убытков, руководствуясь положениями статей 15 , 393 , 401 , 784 , 785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пункте 11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заявленного требования.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"ВИТТА компани" (подробнее) Ответчики: ИП Назарова Юлия Сергеевна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