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13.08.2022 с ходатайством о восстановлении срока на обжалование. В обоснование нарушения срока подачи кассационной жалобы заявитель ссылается на своевременное неполучение копий судебных актов. Согласно частям 1, 2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принятого по делу судебного акта, и этот срок может быть восстановлен при пропуске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Кодекса). 2 Постановление Арбитражного суда Северо-Западного округа от 22.04.2022 вынесено по кассационной жалобе Грибковой Л.А., рассмотренной с участием ее представителя. Текст постановления согласно картотеке арбитражных дел сайта http://kad.arbitr.ru размещен в сети Интернет 23.04.2022 и с этой даты был доступен для ознакомления и при необходимости – подготовки кассационной жалобы. Официальное опубликование 23.04.2022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Обозначенная причина пропуска срока не является объективной и не создает основания для восстановления срока.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Грибкововй Л.А. в восстановлении срока подачи кассационной жалобы на определение Арбитражного суда города Санкт-Петербурга и Ленинградской области от 01.11.2021, постановление Тринадцатого арбитражного апелляционного суда от 28.01.2022 и постановление Арбитражного суда Северо-Западного округа от 22.04.2022 по делу № А56-97481/2018.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