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15.12.2021, оставленным без изменения постановлением Четвертого арбитражного апелляционного суда от 03.03.2022 и постановлением Арбитражного суда Восточно-Сибирского округа от 14.06.2022,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Иркутской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принимая во внимание обстоятельства, установленные по делу № А19-21935/2019, руководствуясь статьями 209, 1102 Гражданского кодекса Российской Федерации, исходили из недоказанности факта неосновательного обогащения ответчика за счет истца.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Иркутского публичного акционерного общества энергетики и электрификации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