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15.12.2021, оставленным без изменения постановлением Девятого арбитражного апелляционного суда от 01.03.2022 и постановлением Арбитражного суда Московского округа от 07.06.2022, первоначальный иск удовлетворен, в удовлетворении встречного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города Москвы.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перечисления терминалом (заказчик) денежных средств в качестве аванса обществу (исполнитель), ненадлежащее исполнение последним обязательств по договору в части соблюдения срока выполнения работ, послужившее основанием для расторжения договора, отсутствие надлежащих доказательств выполнения и сдачи обществом работ на спорную сумму полученного аванса, руководствуясь статьями 307, 309, 330, 331, 450.1, 453, 702, 708, 711, 715, 779, 781, 783, 1102 Гражданского кодекса Российской Федерации, суды первой и апелляционной инстанций пришли к выводу об обоснованности первоначального иска, отклонив встречные требования. Суд округа поддержал выводы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По существу они направлены на переоценку установленных фактических обстоятельств, что не входит в полномочия суда при кассационном производстве.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«ГТ МорРечСтрой»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