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19.10.2021, оставленным без изменения постановлением Девятого арбитражного апелляционного суда от 18.01.2022 и постановлением Арбитражного суда Московского округа от 13.05.2022, в удовлетворении первоначального иска отказано, встречный иск удовлетворен. В кассационной жалобе, поданной в Верховный Суд Российской Федерации, компания, ссылаясь на нарушение судами норм права, несоответствие их выводов фактическим обстоятельствам дела, просит отменить указанные судебные акты и направить дело на новое рассмотрение в Арбитражный суд города Москвы.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в том числе заключение судебной экспертизы, руководствуясь статьями 15, 309, 310, 393, 702, 721, 740, 746, 753, 762 Гражданского кодекса Российской Федерации, установив, что общество (проектировщик) не подтвердило факт выполнения работ, задолженность по оплате которых заявлена к взысканию; разработанная проектировщиком проектная документация не соответствует условиям договора, технических регламентов и иных норм и правил, содержит существенные недостатки, которые требуют переработки документации, принимая во внимание, что спорный договор расторгнут, суды первой и апелляционной инстанций пришли к выводу о наличии оснований для отказа в удовлетворении первоначального иска и удовлетворения встречных требований,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«Группа компаний «Олимпроект»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